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Ind w:w="0" w:type="dxa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>
        <w:trPr>
          <w:trHeight w:val="43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26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20"/>
                <w:szCs w:val="20"/>
              </w:rPr>
              <w:t xml:space="preserve">Заказчик: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28" w:type="dxa"/>
            <w:vAlign w:val="top"/>
            <w:textDirection w:val="lrTb"/>
            <w:noWrap w:val="false"/>
          </w:tcPr>
          <w:p>
            <w:pPr>
              <w:pStyle w:val="657"/>
              <w:rPr>
                <w:rFonts w:ascii="Arial" w:hAnsi="Arial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ООО «Нижневартовские коммунальные системы»</w:t>
            </w:r>
            <w:r>
              <w:rPr>
                <w:rFonts w:ascii="Arial" w:hAnsi="Arial"/>
                <w:sz w:val="20"/>
                <w:szCs w:val="20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8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20"/>
                <w:szCs w:val="20"/>
              </w:rPr>
              <w:t xml:space="preserve">Группа материалов: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792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20"/>
                <w:szCs w:val="20"/>
              </w:rPr>
              <w:t xml:space="preserve">Группа Г-арматура трубопроводная</w:t>
            </w:r>
            <w:r/>
          </w:p>
        </w:tc>
      </w:tr>
      <w:tr>
        <w:trPr>
          <w:trHeight w:val="43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26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20"/>
                <w:szCs w:val="20"/>
              </w:rPr>
              <w:t xml:space="preserve">№</w:t>
            </w:r>
            <w:r>
              <w:rPr>
                <w:rFonts w:ascii="Arial" w:hAnsi="Arial" w:eastAsia="Arial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</w:rPr>
              <w:t xml:space="preserve">опросного листа: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28" w:type="dxa"/>
            <w:vAlign w:val="top"/>
            <w:textDirection w:val="lrTb"/>
            <w:noWrap w:val="false"/>
          </w:tcPr>
          <w:p>
            <w:pPr>
              <w:pStyle w:val="657"/>
              <w:rPr>
                <w:rFonts w:ascii="Arial" w:hAnsi="Arial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16</w:t>
            </w:r>
            <w:r>
              <w:rPr>
                <w:rFonts w:ascii="Arial" w:hAnsi="Arial"/>
                <w:sz w:val="20"/>
                <w:szCs w:val="20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8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20"/>
                <w:szCs w:val="20"/>
              </w:rPr>
              <w:t xml:space="preserve">Код МТР в ЕНС РКС: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792" w:type="dxa"/>
            <w:vAlign w:val="center"/>
            <w:textDirection w:val="lrTb"/>
            <w:noWrap w:val="false"/>
          </w:tcPr>
          <w:p>
            <w:pPr>
              <w:pStyle w:val="657"/>
              <w:rPr>
                <w:rFonts w:ascii="Arial" w:hAnsi="Arial"/>
                <w:i/>
                <w:sz w:val="20"/>
                <w:szCs w:val="20"/>
                <w:u w:val="single"/>
              </w:rPr>
            </w:pPr>
            <w:r>
              <w:rPr>
                <w:rFonts w:ascii="Arial" w:hAnsi="Arial"/>
                <w:i/>
                <w:sz w:val="20"/>
                <w:szCs w:val="20"/>
                <w:u w:val="single"/>
              </w:rPr>
            </w:r>
            <w:r/>
          </w:p>
        </w:tc>
      </w:tr>
    </w:tbl>
    <w:p>
      <w:pPr>
        <w:pStyle w:val="657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  <w:r/>
    </w:p>
    <w:p>
      <w:pPr>
        <w:pStyle w:val="657"/>
      </w:pPr>
      <w:r>
        <w:rPr>
          <w:rFonts w:ascii="Arial" w:hAnsi="Arial"/>
          <w:sz w:val="20"/>
          <w:szCs w:val="20"/>
        </w:rPr>
        <w:t xml:space="preserve">Наименование МТР: Задвижка клиновая стальная </w:t>
      </w:r>
      <w:r>
        <w:rPr>
          <w:rFonts w:ascii="Arial" w:hAnsi="Arial"/>
          <w:bCs/>
          <w:sz w:val="20"/>
          <w:szCs w:val="20"/>
        </w:rPr>
        <w:t xml:space="preserve">Ду 150  </w:t>
      </w:r>
      <w:r>
        <w:rPr>
          <w:rFonts w:ascii="Arial" w:hAnsi="Arial"/>
          <w:bCs/>
          <w:i/>
          <w:color w:val="FF0000"/>
          <w:sz w:val="20"/>
          <w:szCs w:val="20"/>
        </w:rPr>
        <w:t xml:space="preserve"> </w:t>
      </w:r>
      <w:r>
        <w:rPr>
          <w:rFonts w:ascii="Arial" w:hAnsi="Arial"/>
          <w:bCs/>
          <w:color w:val="FF0000"/>
          <w:sz w:val="20"/>
          <w:szCs w:val="20"/>
        </w:rPr>
        <w:t xml:space="preserve"> </w:t>
      </w:r>
      <w:r>
        <w:rPr>
          <w:rFonts w:ascii="Arial" w:hAnsi="Arial"/>
          <w:bCs/>
          <w:sz w:val="20"/>
          <w:szCs w:val="20"/>
        </w:rPr>
        <w:t xml:space="preserve">Ру 16</w:t>
      </w:r>
      <w:r/>
    </w:p>
    <w:p>
      <w:pPr>
        <w:pStyle w:val="657"/>
        <w:rPr>
          <w:rFonts w:ascii="Arial" w:hAnsi="Arial"/>
          <w:bCs/>
          <w:sz w:val="20"/>
          <w:szCs w:val="20"/>
        </w:rPr>
      </w:pPr>
      <w:r>
        <w:rPr>
          <w:rFonts w:ascii="Arial" w:hAnsi="Arial"/>
          <w:bCs/>
          <w:sz w:val="20"/>
          <w:szCs w:val="20"/>
        </w:rPr>
      </w:r>
      <w:r/>
    </w:p>
    <w:tbl>
      <w:tblPr>
        <w:tblW w:w="5000" w:type="pct"/>
        <w:tblInd w:w="-34" w:type="dxa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16"/>
        <w:gridCol w:w="3934"/>
        <w:gridCol w:w="11"/>
        <w:gridCol w:w="1420"/>
        <w:gridCol w:w="3773"/>
      </w:tblGrid>
      <w:tr>
        <w:trPr>
          <w:trHeight w:val="642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dxa"/>
            <w:vAlign w:val="center"/>
            <w:textDirection w:val="lrTb"/>
            <w:noWrap w:val="false"/>
          </w:tcPr>
          <w:p>
            <w:pPr>
              <w:pStyle w:val="657"/>
              <w:jc w:val="center"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№</w:t>
            </w:r>
            <w:r>
              <w:rPr>
                <w:rFonts w:ascii="Arial" w:hAnsi="Arial" w:eastAsia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п/п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59" w:type="dxa"/>
            <w:vAlign w:val="center"/>
            <w:textDirection w:val="lrTb"/>
            <w:noWrap w:val="false"/>
          </w:tcPr>
          <w:p>
            <w:pPr>
              <w:pStyle w:val="657"/>
              <w:jc w:val="center"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Наименование параметра (характеристики)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389" w:type="dxa"/>
            <w:vAlign w:val="center"/>
            <w:textDirection w:val="lrTb"/>
            <w:noWrap w:val="false"/>
          </w:tcPr>
          <w:p>
            <w:pPr>
              <w:pStyle w:val="657"/>
              <w:jc w:val="center"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Размерность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dxa"/>
            <w:vAlign w:val="center"/>
            <w:textDirection w:val="lrTb"/>
            <w:noWrap w:val="false"/>
          </w:tcPr>
          <w:p>
            <w:pPr>
              <w:pStyle w:val="657"/>
              <w:jc w:val="center"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Требования заказчика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b/>
                <w:sz w:val="17"/>
                <w:szCs w:val="17"/>
              </w:rPr>
              <w:t xml:space="preserve">1</w:t>
            </w:r>
            <w:r/>
          </w:p>
        </w:tc>
        <w:tc>
          <w:tcPr>
            <w:gridSpan w:val="4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938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b/>
                <w:sz w:val="17"/>
                <w:szCs w:val="17"/>
              </w:rPr>
              <w:t xml:space="preserve">ФУНКЦИОНАЛЬНЫЕ ПАРАМЕТРЫ И ТЕХНИЧЕСКИЕ ХАРАКТЕРИСТИКИ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1.1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Диаметр условного прохода, Ду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мм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150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Рабочее давление от 1,0 до 1,6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МПа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1,6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1.3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Строительная длина по ГОСТ 3706-93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мм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280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1.4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Тип привода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штурвал/ редуктор/эл. привод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 штурвал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1.5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Рабочая среда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Горячая вода/ чистая вода, питьевая вода по СанПиН 2.1.4.1074/пар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чистая вода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1.6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Направление подачи рабочей среды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двухстороннее/ одностороннее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dxa"/>
            <w:vAlign w:val="center"/>
            <w:textDirection w:val="lrTb"/>
            <w:noWrap w:val="false"/>
          </w:tcPr>
          <w:p>
            <w:pPr>
              <w:pStyle w:val="657"/>
              <w:rPr>
                <w:color w:val="000000"/>
                <w:u w:val="single"/>
              </w:rPr>
            </w:pPr>
            <w:r>
              <w:rPr>
                <w:rFonts w:ascii="Arial" w:hAnsi="Arial"/>
                <w:i/>
                <w:color w:val="000000" w:themeColor="text1"/>
                <w:sz w:val="18"/>
                <w:szCs w:val="18"/>
                <w:u w:val="single"/>
              </w:rPr>
              <w:t xml:space="preserve">Двухстороннее</w:t>
            </w:r>
            <w:r>
              <w:rPr>
                <w:color w:val="000000" w:themeColor="text1"/>
                <w:u w:val="single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1.7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Пропускная способность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полно проходная/ неполно проходная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dxa"/>
            <w:vAlign w:val="center"/>
            <w:textDirection w:val="lrTb"/>
            <w:noWrap w:val="false"/>
          </w:tcPr>
          <w:p>
            <w:pPr>
              <w:pStyle w:val="657"/>
              <w:rPr>
                <w:color w:val="000000"/>
                <w:u w:val="single"/>
              </w:rPr>
            </w:pPr>
            <w:r>
              <w:rPr>
                <w:rFonts w:ascii="Arial" w:hAnsi="Arial"/>
                <w:i/>
                <w:color w:val="000000" w:themeColor="text1"/>
                <w:sz w:val="18"/>
                <w:szCs w:val="18"/>
                <w:u w:val="single"/>
              </w:rPr>
              <w:t xml:space="preserve">Полнопроходная</w:t>
            </w:r>
            <w:r>
              <w:rPr>
                <w:color w:val="000000" w:themeColor="text1"/>
                <w:u w:val="single"/>
              </w:rPr>
            </w:r>
            <w:r/>
          </w:p>
        </w:tc>
      </w:tr>
      <w:tr>
        <w:trPr>
          <w:trHeight w:val="24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1.8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Присоединение к трубопроводу по ГОСТ 33259-2015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Фланцевое приварное/фланцевое прижимное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dxa"/>
            <w:vAlign w:val="center"/>
            <w:textDirection w:val="lrTb"/>
            <w:noWrap w:val="false"/>
          </w:tcPr>
          <w:p>
            <w:pPr>
              <w:pStyle w:val="657"/>
              <w:rPr>
                <w:color w:val="000000"/>
                <w:u w:val="single"/>
              </w:rPr>
            </w:pPr>
            <w:r>
              <w:rPr>
                <w:rFonts w:ascii="Arial" w:hAnsi="Arial"/>
                <w:i/>
                <w:color w:val="000000" w:themeColor="text1"/>
                <w:sz w:val="18"/>
                <w:szCs w:val="18"/>
                <w:u w:val="single"/>
                <w:lang w:val="en-US"/>
              </w:rPr>
              <w:t xml:space="preserve">фланцевое прижимное</w:t>
            </w:r>
            <w:r>
              <w:rPr>
                <w:color w:val="000000" w:themeColor="text1"/>
                <w:u w:val="single"/>
              </w:rPr>
            </w:r>
            <w:r/>
          </w:p>
        </w:tc>
      </w:tr>
      <w:tr>
        <w:trPr>
          <w:trHeight w:val="24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1.9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Наличие комплекта ответных фланцев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Да/нет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dxa"/>
            <w:vAlign w:val="center"/>
            <w:textDirection w:val="lrTb"/>
            <w:noWrap w:val="false"/>
          </w:tcPr>
          <w:p>
            <w:pPr>
              <w:pStyle w:val="657"/>
              <w:rPr>
                <w:color w:val="000000"/>
                <w:u w:val="single"/>
              </w:rPr>
            </w:pPr>
            <w:r>
              <w:rPr>
                <w:rFonts w:ascii="Arial" w:hAnsi="Arial"/>
                <w:i/>
                <w:color w:val="000000" w:themeColor="text1"/>
                <w:sz w:val="18"/>
                <w:szCs w:val="18"/>
                <w:u w:val="single"/>
              </w:rPr>
              <w:t xml:space="preserve">Да</w:t>
            </w:r>
            <w:r>
              <w:rPr>
                <w:color w:val="000000" w:themeColor="text1"/>
                <w:u w:val="single"/>
              </w:rPr>
            </w:r>
            <w:r/>
          </w:p>
        </w:tc>
      </w:tr>
      <w:tr>
        <w:trPr>
          <w:trHeight w:val="24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1.10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Конструкция ходового узла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невыдвижной шпиндель/</w:t>
            </w:r>
            <w:r>
              <w:rPr>
                <w:i/>
              </w:rPr>
              <w:t xml:space="preserve"> 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выдвижной шпиндель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выдвижной шпиндель</w:t>
            </w:r>
            <w:r/>
          </w:p>
        </w:tc>
      </w:tr>
      <w:tr>
        <w:trPr>
          <w:trHeight w:val="165"/>
        </w:trPr>
        <w:tc>
          <w:tcPr>
            <w:gridSpan w:val="5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9638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 xml:space="preserve">Стандартные требования (изменять запрещается)</w:t>
            </w:r>
            <w:r/>
          </w:p>
        </w:tc>
      </w:tr>
      <w:tr>
        <w:trPr>
          <w:trHeight w:val="16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1.11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dxa"/>
            <w:vAlign w:val="top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Диапазон температуры рабочей среды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dxa"/>
            <w:vAlign w:val="top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От -40 до +425°С</w:t>
            </w:r>
            <w:r/>
          </w:p>
        </w:tc>
      </w:tr>
      <w:tr>
        <w:trPr>
          <w:trHeight w:val="16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1.12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Перемещение клина задвижки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плавно, без заеданий</w:t>
            </w:r>
            <w:r/>
          </w:p>
        </w:tc>
      </w:tr>
      <w:tr>
        <w:trPr>
          <w:trHeight w:val="27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1.13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Материал клина задвижки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Сталь 25Л</w:t>
            </w:r>
            <w:r/>
          </w:p>
        </w:tc>
      </w:tr>
      <w:tr>
        <w:trPr>
          <w:trHeight w:val="13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1.14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Материал корпуса задвижки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Сталь 25Л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1.15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Материал гайки клина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латунь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1.1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6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Материал штока задвижки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Сталь 20х13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1.1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7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Материал крышки задвижки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Сталь 25Л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1.1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8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Материал маховика (штурвала) (в случае поставки с маховиком, согласно конкурсной документации)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Сталь 25Л</w:t>
            </w:r>
            <w:r/>
          </w:p>
        </w:tc>
      </w:tr>
      <w:tr>
        <w:trPr>
          <w:trHeight w:val="10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1.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1</w:t>
            </w:r>
            <w:r>
              <w:rPr>
                <w:rFonts w:ascii="Arial" w:hAnsi="Arial"/>
                <w:sz w:val="18"/>
                <w:szCs w:val="18"/>
              </w:rPr>
              <w:t xml:space="preserve">9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Материал уплотнения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АГИ либо ТРГ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Уплотнение крышки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резиновая смесь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1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Материал седлового уплотнения корпуса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Сталь 20х13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1.22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Материал седлового уплотнения клина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Сталь 20х13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2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Соединительные болты, винты, шайбы 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Сталь 35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3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Герметичность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класс А по ГОСТ 9544-2015, ГОСТ Р 54808-2011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4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Положение задвижки в пространстве 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любое, кроме штоком вниз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5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Антикоррозионное покрытие корпуса и крышки (внутреннее и внешнее)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наружное и внутреннее защитное покрытие, обеспечивающее защиту от коррозии и имеющее допуск к применению в системах питьевого водоснабжения, тип антикоррозионного покрытия должен обеспечивать защиту изделия на протяжении всего срока службы.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6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Пробное давление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в соответствии с ГОСТ 356-80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7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Климатическое исполнение 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УХЛ5 по ГОСТ 15150-69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2</w:t>
            </w:r>
            <w:r/>
          </w:p>
        </w:tc>
        <w:tc>
          <w:tcPr>
            <w:gridSpan w:val="4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938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КОМПЛЕКТАЦИЯ</w:t>
            </w:r>
            <w:r/>
          </w:p>
        </w:tc>
      </w:tr>
      <w:tr>
        <w:trPr>
          <w:trHeight w:val="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2.1</w:t>
            </w:r>
            <w:r/>
          </w:p>
        </w:tc>
        <w:tc>
          <w:tcPr>
            <w:gridSpan w:val="2"/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59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Задвижка 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389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шт.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1</w:t>
            </w:r>
            <w:r/>
          </w:p>
        </w:tc>
      </w:tr>
      <w:tr>
        <w:trPr>
          <w:trHeight w:val="129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2.2</w:t>
            </w:r>
            <w:r/>
          </w:p>
        </w:tc>
        <w:tc>
          <w:tcPr>
            <w:gridSpan w:val="2"/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59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Привод (п. 1.4)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389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шт.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1</w:t>
            </w:r>
            <w:r/>
          </w:p>
        </w:tc>
      </w:tr>
      <w:tr>
        <w:trPr>
          <w:trHeight w:val="129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2.3</w:t>
            </w:r>
            <w:r/>
          </w:p>
        </w:tc>
        <w:tc>
          <w:tcPr>
            <w:gridSpan w:val="2"/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59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Заглушки пластиковые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389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шт.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2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2.4</w:t>
            </w:r>
            <w:r/>
          </w:p>
        </w:tc>
        <w:tc>
          <w:tcPr>
            <w:gridSpan w:val="2"/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59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Паспорт изделия и руководство по эксплуатации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389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экз.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1 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3</w:t>
            </w:r>
            <w:r/>
          </w:p>
        </w:tc>
        <w:tc>
          <w:tcPr>
            <w:gridSpan w:val="4"/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938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ПРОЧИЕ ТРЕБОВАНИЯ ЗАКАЗЧИКА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3.1</w:t>
            </w:r>
            <w:r/>
          </w:p>
        </w:tc>
        <w:tc>
          <w:tcPr>
            <w:gridSpan w:val="2"/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59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Соответствие стандартам</w:t>
            </w:r>
            <w:r/>
          </w:p>
        </w:tc>
        <w:tc>
          <w:tcPr>
            <w:gridSpan w:val="2"/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79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ГОСТ 5762-2002</w:t>
            </w:r>
            <w:r/>
          </w:p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ГОСТ 53672-2009 </w:t>
            </w:r>
            <w:r/>
          </w:p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ЕN 1074-2 (для задвижек иностранного производства)</w:t>
            </w:r>
            <w:r/>
          </w:p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  <w:lang w:val="en-US"/>
              </w:rPr>
              <w:t xml:space="preserve">ISO</w:t>
            </w:r>
            <w:r>
              <w:rPr>
                <w:rFonts w:ascii="Arial" w:hAnsi="Arial"/>
                <w:sz w:val="18"/>
                <w:szCs w:val="18"/>
              </w:rPr>
              <w:t xml:space="preserve"> 90001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3.3</w:t>
            </w:r>
            <w:r/>
          </w:p>
        </w:tc>
        <w:tc>
          <w:tcPr>
            <w:gridSpan w:val="2"/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59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Предоставление образца изделия</w:t>
            </w:r>
            <w:r/>
          </w:p>
        </w:tc>
        <w:tc>
          <w:tcPr>
            <w:gridSpan w:val="2"/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79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по дополнительному требованию заказчика, участник процедуры закупки предоставляет образец изделия (продукции) предлагаемого к поставке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3.4</w:t>
            </w:r>
            <w:r/>
          </w:p>
        </w:tc>
        <w:tc>
          <w:tcPr>
            <w:gridSpan w:val="2"/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59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Гарантия на продукцию со дня ввода в эксплуатацию (открытия-закрытия) без обслуживания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389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не менее, лет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2</w:t>
            </w:r>
            <w:r/>
          </w:p>
        </w:tc>
      </w:tr>
      <w:tr>
        <w:trPr>
          <w:trHeight w:val="11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3.5</w:t>
            </w:r>
            <w:r/>
          </w:p>
        </w:tc>
        <w:tc>
          <w:tcPr>
            <w:gridSpan w:val="2"/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59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Наработка на отказ (открытия-закрытия) без обслуживания 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389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не менее, циклов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1500</w:t>
            </w:r>
            <w:r/>
          </w:p>
        </w:tc>
      </w:tr>
      <w:tr>
        <w:trPr>
          <w:trHeight w:val="11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3.6</w:t>
            </w:r>
            <w:r/>
          </w:p>
        </w:tc>
        <w:tc>
          <w:tcPr>
            <w:gridSpan w:val="2"/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59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Срок службы до списания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389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не менее, лет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15</w:t>
            </w:r>
            <w:r/>
          </w:p>
        </w:tc>
      </w:tr>
    </w:tbl>
    <w:p>
      <w:pPr>
        <w:pStyle w:val="657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</w:r>
      <w:r/>
    </w:p>
    <w:tbl>
      <w:tblPr>
        <w:tblW w:w="0" w:type="auto"/>
        <w:tblInd w:w="0" w:type="dxa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376"/>
        <w:gridCol w:w="7478"/>
      </w:tblGrid>
      <w:tr>
        <w:trPr>
          <w:trHeight w:val="43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76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ФИО Ответственного: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478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Князев Константин Анатольевич</w:t>
            </w:r>
            <w:r/>
          </w:p>
        </w:tc>
      </w:tr>
      <w:tr>
        <w:trPr>
          <w:trHeight w:val="43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76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7"/>
                <w:szCs w:val="17"/>
              </w:rPr>
              <w:t xml:space="preserve">Должность: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478" w:type="dxa"/>
            <w:vAlign w:val="center"/>
            <w:textDirection w:val="lrTb"/>
            <w:noWrap w:val="false"/>
          </w:tcPr>
          <w:p>
            <w:pPr>
              <w:pStyle w:val="657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  <w:t xml:space="preserve">Начальник участка УпоЭВОС-1</w:t>
            </w:r>
            <w:r/>
          </w:p>
        </w:tc>
      </w:tr>
      <w:tr>
        <w:trPr>
          <w:trHeight w:val="43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76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7"/>
                <w:szCs w:val="17"/>
              </w:rPr>
              <w:t xml:space="preserve">Телефон / Факс: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478" w:type="dxa"/>
            <w:vAlign w:val="center"/>
            <w:textDirection w:val="lrTb"/>
            <w:noWrap w:val="false"/>
          </w:tcPr>
          <w:p>
            <w:pPr>
              <w:pStyle w:val="657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  <w:t xml:space="preserve">8(3466 )65-11-30</w:t>
            </w:r>
            <w:r>
              <w:rPr>
                <w:rFonts w:ascii="Arial" w:hAnsi="Arial"/>
                <w:sz w:val="17"/>
                <w:szCs w:val="17"/>
              </w:rPr>
            </w:r>
            <w:r/>
          </w:p>
        </w:tc>
      </w:tr>
      <w:tr>
        <w:trPr>
          <w:trHeight w:val="43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76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7"/>
                <w:szCs w:val="17"/>
              </w:rPr>
              <w:t xml:space="preserve">Электронный адрес: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478" w:type="dxa"/>
            <w:vAlign w:val="center"/>
            <w:textDirection w:val="lrTb"/>
            <w:noWrap w:val="false"/>
          </w:tcPr>
          <w:p>
            <w:pPr>
              <w:pStyle w:val="657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</w:r>
            <w:r>
              <w:rPr>
                <w:rFonts w:ascii="Arial" w:hAnsi="Arial"/>
                <w:sz w:val="17"/>
                <w:szCs w:val="17"/>
              </w:rPr>
              <w:t xml:space="preserve">knyazev_ka@nvcs.ru</w:t>
            </w:r>
            <w:r>
              <w:rPr>
                <w:rFonts w:ascii="Arial" w:hAnsi="Arial"/>
                <w:sz w:val="17"/>
                <w:szCs w:val="17"/>
              </w:rPr>
            </w:r>
            <w:r>
              <w:rPr>
                <w:rFonts w:ascii="Arial" w:hAnsi="Arial"/>
                <w:sz w:val="17"/>
                <w:szCs w:val="17"/>
              </w:rPr>
            </w:r>
            <w:r/>
          </w:p>
        </w:tc>
      </w:tr>
      <w:tr>
        <w:trPr>
          <w:trHeight w:val="43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76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7"/>
                <w:szCs w:val="17"/>
              </w:rPr>
              <w:t xml:space="preserve">Подпись: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478" w:type="dxa"/>
            <w:vAlign w:val="center"/>
            <w:textDirection w:val="lrTb"/>
            <w:noWrap w:val="false"/>
          </w:tcPr>
          <w:p>
            <w:pPr>
              <w:pStyle w:val="657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</w:r>
            <w:r/>
          </w:p>
        </w:tc>
      </w:tr>
      <w:tr>
        <w:trPr>
          <w:trHeight w:val="43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76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7"/>
                <w:szCs w:val="17"/>
              </w:rPr>
              <w:t xml:space="preserve">Директор технического департамента: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478" w:type="dxa"/>
            <w:vAlign w:val="center"/>
            <w:textDirection w:val="lrTb"/>
            <w:noWrap w:val="false"/>
          </w:tcPr>
          <w:p>
            <w:pPr>
              <w:pStyle w:val="657"/>
              <w:rPr>
                <w:rFonts w:ascii="Arial" w:hAnsi="Arial"/>
                <w:color w:val="FF0000"/>
                <w:sz w:val="17"/>
                <w:szCs w:val="17"/>
                <w:lang w:val="en-US"/>
              </w:rPr>
            </w:pPr>
            <w:r>
              <w:rPr>
                <w:rFonts w:ascii="Arial" w:hAnsi="Arial"/>
                <w:color w:val="FF0000"/>
                <w:sz w:val="17"/>
                <w:szCs w:val="17"/>
                <w:lang w:val="en-US"/>
              </w:rPr>
            </w:r>
            <w:r/>
          </w:p>
        </w:tc>
      </w:tr>
      <w:tr>
        <w:trPr>
          <w:trHeight w:val="43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76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7"/>
                <w:szCs w:val="17"/>
              </w:rPr>
              <w:t xml:space="preserve">Подпись: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478" w:type="dxa"/>
            <w:vAlign w:val="center"/>
            <w:textDirection w:val="lrTb"/>
            <w:noWrap w:val="false"/>
          </w:tcPr>
          <w:p>
            <w:pPr>
              <w:pStyle w:val="657"/>
              <w:rPr>
                <w:rFonts w:ascii="Arial" w:hAnsi="Arial"/>
                <w:color w:val="FF0000"/>
                <w:sz w:val="17"/>
                <w:szCs w:val="17"/>
              </w:rPr>
            </w:pPr>
            <w:r>
              <w:rPr>
                <w:rFonts w:ascii="Arial" w:hAnsi="Arial"/>
                <w:color w:val="FF0000"/>
                <w:sz w:val="17"/>
                <w:szCs w:val="17"/>
              </w:rPr>
            </w:r>
            <w:r/>
          </w:p>
        </w:tc>
      </w:tr>
    </w:tbl>
    <w:p>
      <w:r/>
      <w:r/>
    </w:p>
    <w:sectPr>
      <w:headerReference w:type="default" r:id="rId9"/>
      <w:headerReference w:type="first" r:id="rId10"/>
      <w:footnotePr/>
      <w:endnotePr/>
      <w:type w:val="nextPage"/>
      <w:pgSz w:w="11906" w:h="16838" w:orient="portrait"/>
      <w:pgMar w:top="1843" w:right="1134" w:bottom="1814" w:left="1134" w:header="709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ans">
    <w:panose1 w:val="020B0604020202020204"/>
  </w:font>
  <w:font w:name="Tahoma">
    <w:panose1 w:val="020B0604030504040204"/>
  </w:font>
  <w:font w:name="Arial">
    <w:panose1 w:val="020B0604020202020204"/>
  </w:font>
  <w:font w:name="Microsoft YaHei">
    <w:panose1 w:val="020B0503020204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8"/>
    </w:pPr>
    <w:r>
      <mc:AlternateContent>
        <mc:Choice Requires="wpg">
          <w:drawing>
            <wp:anchor xmlns:wp="http://schemas.openxmlformats.org/drawingml/2006/wordprocessingDrawing" distT="0" distB="0" distL="114935" distR="114935" simplePos="0" relativeHeight="524288" behindDoc="0" locked="0" layoutInCell="1" allowOverlap="1">
              <wp:simplePos x="0" y="0"/>
              <wp:positionH relativeFrom="column">
                <wp:posOffset>-66039</wp:posOffset>
              </wp:positionH>
              <wp:positionV relativeFrom="paragraph">
                <wp:posOffset>-151764</wp:posOffset>
              </wp:positionV>
              <wp:extent cx="1093470" cy="578485"/>
              <wp:effectExtent l="0" t="0" r="0" b="0"/>
              <wp:wrapTight wrapText="bothSides">
                <wp:wrapPolygon edited="1">
                  <wp:start x="-61" y="0"/>
                  <wp:lineTo x="-61" y="21477"/>
                  <wp:lineTo x="21600" y="21477"/>
                  <wp:lineTo x="21600" y="0"/>
                  <wp:lineTo x="-61" y="0"/>
                </wp:wrapPolygon>
              </wp:wrapTight>
              <wp:docPr id="1" name="" hidden="false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" hidden="0"/>
                      <pic:cNvPicPr/>
                      <pic:nvPr isPhoto="0" userDrawn="0"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093470" cy="578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position:absolute;mso-wrap-distance-left:9.0pt;mso-wrap-distance-top:0.0pt;mso-wrap-distance-right:9.0pt;mso-wrap-distance-bottom:0.0pt;z-index:524288;o:allowoverlap:true;o:allowincell:true;mso-position-horizontal-relative:text;margin-left:-5.2pt;mso-position-horizontal:absolute;mso-position-vertical-relative:text;margin-top:-11.9pt;mso-position-vertical:absolute;width:86.1pt;height:45.5pt;" wrapcoords="-281 0 -281 99431 100000 99431 100000 0 -281 0">
              <v:path textboxrect="0,0,0,0"/>
              <v:imagedata r:id="rId1" o:title=""/>
            </v:shape>
          </w:pict>
        </mc:Fallback>
      </mc:AlternateContent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57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nothing"/>
      <w:lvlText w:val=""/>
      <w:lvlJc w:val="left"/>
      <w:pPr>
        <w:pStyle w:val="657"/>
        <w:ind w:left="0" w:firstLine="0"/>
        <w:tabs>
          <w:tab w:val="num" w:pos="0" w:leader="none"/>
        </w:tabs>
      </w:pPr>
    </w:lvl>
    <w:lvl w:ilvl="1">
      <w:start w:val="1"/>
      <w:numFmt w:val="decimal"/>
      <w:isLgl w:val="false"/>
      <w:suff w:val="nothing"/>
      <w:lvlText w:val=""/>
      <w:lvlJc w:val="left"/>
      <w:pPr>
        <w:pStyle w:val="657"/>
        <w:ind w:left="0" w:firstLine="0"/>
        <w:tabs>
          <w:tab w:val="num" w:pos="0" w:leader="none"/>
        </w:tabs>
      </w:pPr>
    </w:lvl>
    <w:lvl w:ilvl="2">
      <w:start w:val="1"/>
      <w:numFmt w:val="decimal"/>
      <w:pStyle w:val="658"/>
      <w:isLgl w:val="false"/>
      <w:suff w:val="nothing"/>
      <w:lvlText w:val=""/>
      <w:lvlJc w:val="left"/>
      <w:pPr>
        <w:pStyle w:val="657"/>
        <w:ind w:left="0" w:firstLine="0"/>
        <w:tabs>
          <w:tab w:val="num" w:pos="0" w:leader="none"/>
        </w:tabs>
      </w:pPr>
    </w:lvl>
    <w:lvl w:ilvl="3">
      <w:start w:val="1"/>
      <w:numFmt w:val="decimal"/>
      <w:isLgl w:val="false"/>
      <w:suff w:val="nothing"/>
      <w:lvlText w:val=""/>
      <w:lvlJc w:val="left"/>
      <w:pPr>
        <w:pStyle w:val="657"/>
        <w:ind w:left="0" w:firstLine="0"/>
        <w:tabs>
          <w:tab w:val="num" w:pos="0" w:leader="none"/>
        </w:tabs>
      </w:pPr>
    </w:lvl>
    <w:lvl w:ilvl="4">
      <w:start w:val="1"/>
      <w:numFmt w:val="decimal"/>
      <w:isLgl w:val="false"/>
      <w:suff w:val="nothing"/>
      <w:lvlText w:val=""/>
      <w:lvlJc w:val="left"/>
      <w:pPr>
        <w:pStyle w:val="657"/>
        <w:ind w:left="0" w:firstLine="0"/>
        <w:tabs>
          <w:tab w:val="num" w:pos="0" w:leader="none"/>
        </w:tabs>
      </w:pPr>
    </w:lvl>
    <w:lvl w:ilvl="5">
      <w:start w:val="1"/>
      <w:numFmt w:val="decimal"/>
      <w:isLgl w:val="false"/>
      <w:suff w:val="nothing"/>
      <w:lvlText w:val=""/>
      <w:lvlJc w:val="left"/>
      <w:pPr>
        <w:pStyle w:val="657"/>
        <w:ind w:left="0" w:firstLine="0"/>
        <w:tabs>
          <w:tab w:val="num" w:pos="0" w:leader="none"/>
        </w:tabs>
      </w:pPr>
    </w:lvl>
    <w:lvl w:ilvl="6">
      <w:start w:val="1"/>
      <w:numFmt w:val="decimal"/>
      <w:isLgl w:val="false"/>
      <w:suff w:val="nothing"/>
      <w:lvlText w:val=""/>
      <w:lvlJc w:val="left"/>
      <w:pPr>
        <w:pStyle w:val="657"/>
        <w:ind w:left="0" w:firstLine="0"/>
        <w:tabs>
          <w:tab w:val="num" w:pos="0" w:leader="none"/>
        </w:tabs>
      </w:pPr>
    </w:lvl>
    <w:lvl w:ilvl="7">
      <w:start w:val="1"/>
      <w:numFmt w:val="decimal"/>
      <w:isLgl w:val="false"/>
      <w:suff w:val="nothing"/>
      <w:lvlText w:val=""/>
      <w:lvlJc w:val="left"/>
      <w:pPr>
        <w:pStyle w:val="657"/>
        <w:ind w:left="0" w:firstLine="0"/>
        <w:tabs>
          <w:tab w:val="num" w:pos="0" w:leader="none"/>
        </w:tabs>
      </w:pPr>
    </w:lvl>
    <w:lvl w:ilvl="8">
      <w:start w:val="1"/>
      <w:numFmt w:val="decimal"/>
      <w:isLgl w:val="false"/>
      <w:suff w:val="nothing"/>
      <w:lvlText w:val=""/>
      <w:lvlJc w:val="left"/>
      <w:pPr>
        <w:pStyle w:val="657"/>
        <w:ind w:left="0" w:firstLine="0"/>
        <w:tabs>
          <w:tab w:val="num" w:pos="0" w:leader="none"/>
        </w:tabs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/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cs="Times New Roman" w:eastAsia="Times New Roman"/>
        <w:lang w:val="ru-RU" w:bidi="ar-SA" w:eastAsia="zh-C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480">
    <w:name w:val="Heading 1"/>
    <w:link w:val="481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481">
    <w:name w:val="Heading 1 Char"/>
    <w:link w:val="480"/>
    <w:uiPriority w:val="9"/>
    <w:rPr>
      <w:rFonts w:ascii="Arial" w:hAnsi="Arial" w:cs="Arial" w:eastAsia="Arial"/>
      <w:sz w:val="40"/>
      <w:szCs w:val="40"/>
    </w:rPr>
  </w:style>
  <w:style w:type="paragraph" w:styleId="482">
    <w:name w:val="Heading 2"/>
    <w:link w:val="483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483">
    <w:name w:val="Heading 2 Char"/>
    <w:link w:val="482"/>
    <w:uiPriority w:val="9"/>
    <w:rPr>
      <w:rFonts w:ascii="Arial" w:hAnsi="Arial" w:cs="Arial" w:eastAsia="Arial"/>
      <w:sz w:val="34"/>
    </w:rPr>
  </w:style>
  <w:style w:type="paragraph" w:styleId="484">
    <w:name w:val="Heading 3"/>
    <w:link w:val="485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485">
    <w:name w:val="Heading 3 Char"/>
    <w:link w:val="484"/>
    <w:uiPriority w:val="9"/>
    <w:rPr>
      <w:rFonts w:ascii="Arial" w:hAnsi="Arial" w:cs="Arial" w:eastAsia="Arial"/>
      <w:sz w:val="30"/>
      <w:szCs w:val="30"/>
    </w:rPr>
  </w:style>
  <w:style w:type="paragraph" w:styleId="486">
    <w:name w:val="Heading 4"/>
    <w:link w:val="487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487">
    <w:name w:val="Heading 4 Char"/>
    <w:link w:val="486"/>
    <w:uiPriority w:val="9"/>
    <w:rPr>
      <w:rFonts w:ascii="Arial" w:hAnsi="Arial" w:cs="Arial" w:eastAsia="Arial"/>
      <w:b/>
      <w:bCs/>
      <w:sz w:val="26"/>
      <w:szCs w:val="26"/>
    </w:rPr>
  </w:style>
  <w:style w:type="paragraph" w:styleId="488">
    <w:name w:val="Heading 5"/>
    <w:link w:val="489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489">
    <w:name w:val="Heading 5 Char"/>
    <w:link w:val="488"/>
    <w:uiPriority w:val="9"/>
    <w:rPr>
      <w:rFonts w:ascii="Arial" w:hAnsi="Arial" w:cs="Arial" w:eastAsia="Arial"/>
      <w:b/>
      <w:bCs/>
      <w:sz w:val="24"/>
      <w:szCs w:val="24"/>
    </w:rPr>
  </w:style>
  <w:style w:type="paragraph" w:styleId="490">
    <w:name w:val="Heading 6"/>
    <w:link w:val="491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491">
    <w:name w:val="Heading 6 Char"/>
    <w:link w:val="490"/>
    <w:uiPriority w:val="9"/>
    <w:rPr>
      <w:rFonts w:ascii="Arial" w:hAnsi="Arial" w:cs="Arial" w:eastAsia="Arial"/>
      <w:b/>
      <w:bCs/>
      <w:sz w:val="22"/>
      <w:szCs w:val="22"/>
    </w:rPr>
  </w:style>
  <w:style w:type="paragraph" w:styleId="492">
    <w:name w:val="Heading 7"/>
    <w:link w:val="493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493">
    <w:name w:val="Heading 7 Char"/>
    <w:link w:val="492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494">
    <w:name w:val="Heading 8"/>
    <w:link w:val="495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495">
    <w:name w:val="Heading 8 Char"/>
    <w:link w:val="494"/>
    <w:uiPriority w:val="9"/>
    <w:rPr>
      <w:rFonts w:ascii="Arial" w:hAnsi="Arial" w:cs="Arial" w:eastAsia="Arial"/>
      <w:i/>
      <w:iCs/>
      <w:sz w:val="22"/>
      <w:szCs w:val="22"/>
    </w:rPr>
  </w:style>
  <w:style w:type="paragraph" w:styleId="496">
    <w:name w:val="Heading 9"/>
    <w:link w:val="497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497">
    <w:name w:val="Heading 9 Char"/>
    <w:link w:val="496"/>
    <w:uiPriority w:val="9"/>
    <w:rPr>
      <w:rFonts w:ascii="Arial" w:hAnsi="Arial" w:cs="Arial" w:eastAsia="Arial"/>
      <w:i/>
      <w:iCs/>
      <w:sz w:val="21"/>
      <w:szCs w:val="21"/>
    </w:rPr>
  </w:style>
  <w:style w:type="paragraph" w:styleId="498">
    <w:name w:val="List Paragraph"/>
    <w:qFormat/>
    <w:uiPriority w:val="34"/>
    <w:pPr>
      <w:contextualSpacing w:val="true"/>
      <w:ind w:left="720"/>
    </w:pPr>
  </w:style>
  <w:style w:type="paragraph" w:styleId="499">
    <w:name w:val="No Spacing"/>
    <w:qFormat/>
    <w:uiPriority w:val="1"/>
    <w:pPr>
      <w:spacing w:lineRule="auto" w:line="240" w:after="0" w:before="0"/>
    </w:pPr>
  </w:style>
  <w:style w:type="paragraph" w:styleId="500">
    <w:name w:val="Title"/>
    <w:link w:val="501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501">
    <w:name w:val="Title Char"/>
    <w:link w:val="500"/>
    <w:uiPriority w:val="10"/>
    <w:rPr>
      <w:sz w:val="48"/>
      <w:szCs w:val="48"/>
    </w:rPr>
  </w:style>
  <w:style w:type="paragraph" w:styleId="502">
    <w:name w:val="Subtitle"/>
    <w:link w:val="503"/>
    <w:qFormat/>
    <w:uiPriority w:val="11"/>
    <w:rPr>
      <w:sz w:val="24"/>
      <w:szCs w:val="24"/>
    </w:rPr>
    <w:pPr>
      <w:spacing w:after="200" w:before="200"/>
    </w:pPr>
  </w:style>
  <w:style w:type="character" w:styleId="503">
    <w:name w:val="Subtitle Char"/>
    <w:link w:val="502"/>
    <w:uiPriority w:val="11"/>
    <w:rPr>
      <w:sz w:val="24"/>
      <w:szCs w:val="24"/>
    </w:rPr>
  </w:style>
  <w:style w:type="paragraph" w:styleId="504">
    <w:name w:val="Quote"/>
    <w:link w:val="505"/>
    <w:qFormat/>
    <w:uiPriority w:val="29"/>
    <w:rPr>
      <w:i/>
    </w:rPr>
    <w:pPr>
      <w:ind w:left="720" w:right="720"/>
    </w:pPr>
  </w:style>
  <w:style w:type="character" w:styleId="505">
    <w:name w:val="Quote Char"/>
    <w:link w:val="504"/>
    <w:uiPriority w:val="29"/>
    <w:rPr>
      <w:i/>
    </w:rPr>
  </w:style>
  <w:style w:type="paragraph" w:styleId="506">
    <w:name w:val="Intense Quote"/>
    <w:link w:val="507"/>
    <w:qFormat/>
    <w:uiPriority w:val="30"/>
    <w:rPr>
      <w:i/>
    </w:rPr>
    <w:pPr>
      <w:contextualSpacing w:val="false"/>
      <w:ind w:left="720" w:right="720"/>
      <w:shd w:val="clear" w:fill="F2F2F2" w:color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507">
    <w:name w:val="Intense Quote Char"/>
    <w:link w:val="506"/>
    <w:uiPriority w:val="30"/>
    <w:rPr>
      <w:i/>
    </w:rPr>
  </w:style>
  <w:style w:type="paragraph" w:styleId="508">
    <w:name w:val="Header"/>
    <w:link w:val="509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509">
    <w:name w:val="Header Char"/>
    <w:link w:val="508"/>
    <w:uiPriority w:val="99"/>
  </w:style>
  <w:style w:type="paragraph" w:styleId="510">
    <w:name w:val="Footer"/>
    <w:link w:val="513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511">
    <w:name w:val="Footer Char"/>
    <w:link w:val="510"/>
    <w:uiPriority w:val="99"/>
  </w:style>
  <w:style w:type="paragraph" w:styleId="512">
    <w:name w:val="Caption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513">
    <w:name w:val="Caption Char"/>
    <w:basedOn w:val="512"/>
    <w:link w:val="510"/>
    <w:uiPriority w:val="99"/>
  </w:style>
  <w:style w:type="table" w:styleId="514">
    <w:name w:val="Table Grid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5">
    <w:name w:val="Table Grid Light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6">
    <w:name w:val="Plain Table 1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7">
    <w:name w:val="Plain Table 2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8">
    <w:name w:val="Plain Table 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9">
    <w:name w:val="Plain Table 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0">
    <w:name w:val="Plain Table 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fill="FFFFFF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fill="FFFFFF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521">
    <w:name w:val="Grid Table 1 Light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2">
    <w:name w:val="Grid Table 1 Light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3">
    <w:name w:val="Grid Table 1 Light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4">
    <w:name w:val="Grid Table 1 Light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5">
    <w:name w:val="Grid Table 1 Light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6">
    <w:name w:val="Grid Table 1 Light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7">
    <w:name w:val="Grid Table 1 Light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8">
    <w:name w:val="Grid Table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529">
    <w:name w:val="Grid Table 2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530">
    <w:name w:val="Grid Table 2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531">
    <w:name w:val="Grid Table 2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532">
    <w:name w:val="Grid Table 2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533">
    <w:name w:val="Grid Table 2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534">
    <w:name w:val="Grid Table 2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535">
    <w:name w:val="Grid Table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36">
    <w:name w:val="Grid Table 3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37">
    <w:name w:val="Grid Table 3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38">
    <w:name w:val="Grid Table 3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39">
    <w:name w:val="Grid Table 3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40">
    <w:name w:val="Grid Table 3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41">
    <w:name w:val="Grid Table 3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42">
    <w:name w:val="Grid Table 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543">
    <w:name w:val="Grid Table 4 - Accent 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 w:themeFill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544">
    <w:name w:val="Grid Table 4 - Accent 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545">
    <w:name w:val="Grid Table 4 - Accent 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546">
    <w:name w:val="Grid Table 4 - Accent 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547">
    <w:name w:val="Grid Table 4 - Accent 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548">
    <w:name w:val="Grid Table 4 - Accent 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549">
    <w:name w:val="Grid Table 5 Dark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text1" w:themeFillTint="40"/>
    </w:tblPr>
    <w:tblStylePr w:type="band1Horz">
      <w:tcPr>
        <w:shd w:val="clear" w:fill="FFFFFF" w:color="FFFFFF" w:themeFill="text1" w:themeFillTint="75"/>
      </w:tcPr>
    </w:tblStylePr>
    <w:tblStylePr w:type="band1Vert">
      <w:tcPr>
        <w:shd w:val="clear" w:fill="FFFFFF" w:color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top w:val="single" w:color="000000" w:sz="4" w:space="0" w:themeColor="light1"/>
        </w:tcBorders>
      </w:tcPr>
    </w:tblStylePr>
  </w:style>
  <w:style w:type="table" w:styleId="550">
    <w:name w:val="Grid Table 5 Dark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1" w:themeFillTint="34"/>
    </w:tblPr>
    <w:tblStylePr w:type="band1Horz">
      <w:tcPr>
        <w:shd w:val="clear" w:fill="FFFFFF" w:color="FFFFFF" w:themeFill="accent1" w:themeFillTint="75"/>
      </w:tcPr>
    </w:tblStylePr>
    <w:tblStylePr w:type="band1Vert">
      <w:tcPr>
        <w:shd w:val="clear" w:fill="FFFFFF" w:color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1"/>
        <w:tcBorders>
          <w:top w:val="single" w:color="000000" w:sz="4" w:space="0" w:themeColor="light1"/>
        </w:tcBorders>
      </w:tcPr>
    </w:tblStylePr>
  </w:style>
  <w:style w:type="table" w:styleId="551">
    <w:name w:val="Grid Table 5 Dark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2" w:themeFillTint="32"/>
    </w:tblPr>
    <w:tblStylePr w:type="band1Horz">
      <w:tcPr>
        <w:shd w:val="clear" w:fill="FFFFFF" w:color="FFFFFF" w:themeFill="accent2" w:themeFillTint="75"/>
      </w:tcPr>
    </w:tblStylePr>
    <w:tblStylePr w:type="band1Vert">
      <w:tcPr>
        <w:shd w:val="clear" w:fill="FFFFFF" w:color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2"/>
        <w:tcBorders>
          <w:top w:val="single" w:color="000000" w:sz="4" w:space="0" w:themeColor="light1"/>
        </w:tcBorders>
      </w:tcPr>
    </w:tblStylePr>
  </w:style>
  <w:style w:type="table" w:styleId="552">
    <w:name w:val="Grid Table 5 Dark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3" w:themeFillTint="34"/>
    </w:tblPr>
    <w:tblStylePr w:type="band1Horz">
      <w:tcPr>
        <w:shd w:val="clear" w:fill="FFFFFF" w:color="FFFFFF" w:themeFill="accent3" w:themeFillTint="75"/>
      </w:tcPr>
    </w:tblStylePr>
    <w:tblStylePr w:type="band1Vert">
      <w:tcPr>
        <w:shd w:val="clear" w:fill="FFFFFF" w:color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3"/>
        <w:tcBorders>
          <w:top w:val="single" w:color="000000" w:sz="4" w:space="0" w:themeColor="light1"/>
        </w:tcBorders>
      </w:tcPr>
    </w:tblStylePr>
  </w:style>
  <w:style w:type="table" w:styleId="553">
    <w:name w:val="Grid Table 5 Dark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4" w:themeFillTint="34"/>
    </w:tblPr>
    <w:tblStylePr w:type="band1Horz">
      <w:tcPr>
        <w:shd w:val="clear" w:fill="FFFFFF" w:color="FFFFFF" w:themeFill="accent4" w:themeFillTint="75"/>
      </w:tcPr>
    </w:tblStylePr>
    <w:tblStylePr w:type="band1Vert">
      <w:tcPr>
        <w:shd w:val="clear" w:fill="FFFFFF" w:color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4"/>
        <w:tcBorders>
          <w:top w:val="single" w:color="000000" w:sz="4" w:space="0" w:themeColor="light1"/>
        </w:tcBorders>
      </w:tcPr>
    </w:tblStylePr>
  </w:style>
  <w:style w:type="table" w:styleId="554">
    <w:name w:val="Grid Table 5 Dark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5" w:themeFillTint="34"/>
    </w:tblPr>
    <w:tblStylePr w:type="band1Horz">
      <w:tcPr>
        <w:shd w:val="clear" w:fill="FFFFFF" w:color="FFFFFF" w:themeFill="accent5" w:themeFillTint="75"/>
      </w:tcPr>
    </w:tblStylePr>
    <w:tblStylePr w:type="band1Vert">
      <w:tcPr>
        <w:shd w:val="clear" w:fill="FFFFFF" w:color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top w:val="single" w:color="000000" w:sz="4" w:space="0" w:themeColor="light1"/>
        </w:tcBorders>
      </w:tcPr>
    </w:tblStylePr>
  </w:style>
  <w:style w:type="table" w:styleId="555">
    <w:name w:val="Grid Table 5 Dark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6" w:themeFillTint="34"/>
    </w:tblPr>
    <w:tblStylePr w:type="band1Horz">
      <w:tcPr>
        <w:shd w:val="clear" w:fill="FFFFFF" w:color="FFFFFF" w:themeFill="accent6" w:themeFillTint="75"/>
      </w:tcPr>
    </w:tblStylePr>
    <w:tblStylePr w:type="band1Vert">
      <w:tcPr>
        <w:shd w:val="clear" w:fill="FFFFFF" w:color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top w:val="single" w:color="000000" w:sz="4" w:space="0" w:themeColor="light1"/>
        </w:tcBorders>
      </w:tcPr>
    </w:tblStylePr>
  </w:style>
  <w:style w:type="table" w:styleId="556">
    <w:name w:val="Grid Table 6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fill="FFFFFF" w:color="FFFFFF" w:themeFill="text1" w:themeFillTint="34"/>
      </w:tcPr>
    </w:tblStylePr>
    <w:tblStylePr w:type="band1Vert">
      <w:tcPr>
        <w:shd w:val="clear" w:fill="FFFFFF" w:color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557">
    <w:name w:val="Grid Table 6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558">
    <w:name w:val="Grid Table 6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559">
    <w:name w:val="Grid Table 6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560">
    <w:name w:val="Grid Table 6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561">
    <w:name w:val="Grid Table 6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562">
    <w:name w:val="Grid Table 6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563">
    <w:name w:val="Grid Table 7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564">
    <w:name w:val="Grid Table 7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fill="FFFFFF"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565">
    <w:name w:val="Grid Table 7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566">
    <w:name w:val="Grid Table 7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fill="FFFFFF"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567">
    <w:name w:val="Grid Table 7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568">
    <w:name w:val="Grid Table 7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fill="FFFFFF"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569">
    <w:name w:val="Grid Table 7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fill="FFFFFF"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570">
    <w:name w:val="List Table 1 Light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571">
    <w:name w:val="List Table 1 Light - Accent 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572">
    <w:name w:val="List Table 1 Light - Accent 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573">
    <w:name w:val="List Table 1 Light - Accent 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574">
    <w:name w:val="List Table 1 Light - Accent 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575">
    <w:name w:val="List Table 1 Light - Accent 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576">
    <w:name w:val="List Table 1 Light - Accent 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577">
    <w:name w:val="List Table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578">
    <w:name w:val="List Table 2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579">
    <w:name w:val="List Table 2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580">
    <w:name w:val="List Table 2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581">
    <w:name w:val="List Table 2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582">
    <w:name w:val="List Table 2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583">
    <w:name w:val="List Table 2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584">
    <w:name w:val="List Table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5">
    <w:name w:val="List Table 3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6">
    <w:name w:val="List Table 3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7">
    <w:name w:val="List Table 3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8">
    <w:name w:val="List Table 3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9">
    <w:name w:val="List Table 3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0">
    <w:name w:val="List Table 3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1">
    <w:name w:val="List Table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2">
    <w:name w:val="List Table 4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3">
    <w:name w:val="List Table 4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4">
    <w:name w:val="List Table 4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5">
    <w:name w:val="List Table 4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6">
    <w:name w:val="List Table 4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7">
    <w:name w:val="List Table 4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8">
    <w:name w:val="List Table 5 Dark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fill="FFFFFF" w:color="FFFFFF" w:themeFill="text1" w:themeFillTint="80"/>
    </w:tblPr>
    <w:tblStylePr w:type="band1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text1" w:themeFill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99">
    <w:name w:val="List Table 5 Dark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fill="FFFFFF" w:color="FFFFFF" w:themeFill="accent1"/>
    </w:tblPr>
    <w:tblStylePr w:type="band1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600">
    <w:name w:val="List Table 5 Dark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fill="FFFFFF" w:color="FFFFFF" w:themeFill="accent2" w:themeFillTint="97"/>
    </w:tblPr>
    <w:tblStylePr w:type="band1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2" w:themeFill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601">
    <w:name w:val="List Table 5 Dark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fill="FFFFFF" w:color="FFFFFF" w:themeFill="accent3" w:themeFillTint="98"/>
    </w:tblPr>
    <w:tblStylePr w:type="band1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3" w:themeFill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602">
    <w:name w:val="List Table 5 Dark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fill="FFFFFF" w:color="FFFFFF" w:themeFill="accent4" w:themeFillTint="9A"/>
    </w:tblPr>
    <w:tblStylePr w:type="band1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4" w:themeFill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603">
    <w:name w:val="List Table 5 Dark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fill="FFFFFF" w:color="FFFFFF" w:themeFill="accent5" w:themeFillTint="9A"/>
    </w:tblPr>
    <w:tblStylePr w:type="band1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5" w:themeFill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604">
    <w:name w:val="List Table 5 Dark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fill="FFFFFF" w:color="FFFFFF" w:themeFill="accent6" w:themeFillTint="98"/>
    </w:tblPr>
    <w:tblStylePr w:type="band1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6" w:themeFill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605">
    <w:name w:val="List Table 6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606">
    <w:name w:val="List Table 6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607">
    <w:name w:val="List Table 6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608">
    <w:name w:val="List Table 6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609">
    <w:name w:val="List Table 6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610">
    <w:name w:val="List Table 6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611">
    <w:name w:val="List Table 6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612">
    <w:name w:val="List Table 7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613">
    <w:name w:val="List Table 7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fill="FFFFFF"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614">
    <w:name w:val="List Table 7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615">
    <w:name w:val="List Table 7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616">
    <w:name w:val="List Table 7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617">
    <w:name w:val="List Table 7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618">
    <w:name w:val="List Table 7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619">
    <w:name w:val="Lined - Accent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620">
    <w:name w:val="Lined - Accent 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621">
    <w:name w:val="Lined - Accent 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622">
    <w:name w:val="Lined - Accent 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623">
    <w:name w:val="Lined - Accent 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624">
    <w:name w:val="Lined - Accent 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625">
    <w:name w:val="Lined - Accent 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626">
    <w:name w:val="Bordered &amp; Lined - Accent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627">
    <w:name w:val="Bordered &amp; Lined - Accent 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628">
    <w:name w:val="Bordered &amp; Lined - Accent 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629">
    <w:name w:val="Bordered &amp; Lined - Accent 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630">
    <w:name w:val="Bordered &amp; Lined - Accent 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631">
    <w:name w:val="Bordered &amp; Lined - Accent 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632">
    <w:name w:val="Bordered &amp; Lined - Accent 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633">
    <w:name w:val="Bordered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634">
    <w:name w:val="Bordered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635">
    <w:name w:val="Bordered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636">
    <w:name w:val="Bordered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637">
    <w:name w:val="Bordered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638">
    <w:name w:val="Bordered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639">
    <w:name w:val="Bordered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640">
    <w:name w:val="Hyperlink"/>
    <w:uiPriority w:val="99"/>
    <w:unhideWhenUsed/>
    <w:rPr>
      <w:color w:val="0000FF" w:themeColor="hyperlink"/>
      <w:u w:val="single"/>
    </w:rPr>
  </w:style>
  <w:style w:type="paragraph" w:styleId="641">
    <w:name w:val="footnote text"/>
    <w:link w:val="642"/>
    <w:uiPriority w:val="99"/>
    <w:semiHidden/>
    <w:unhideWhenUsed/>
    <w:rPr>
      <w:sz w:val="18"/>
    </w:rPr>
    <w:pPr>
      <w:spacing w:lineRule="auto" w:line="240" w:after="40"/>
    </w:pPr>
  </w:style>
  <w:style w:type="character" w:styleId="642">
    <w:name w:val="Footnote Text Char"/>
    <w:link w:val="641"/>
    <w:uiPriority w:val="99"/>
    <w:rPr>
      <w:sz w:val="18"/>
    </w:rPr>
  </w:style>
  <w:style w:type="character" w:styleId="643">
    <w:name w:val="footnote reference"/>
    <w:uiPriority w:val="99"/>
    <w:unhideWhenUsed/>
    <w:rPr>
      <w:vertAlign w:val="superscript"/>
    </w:rPr>
  </w:style>
  <w:style w:type="paragraph" w:styleId="644">
    <w:name w:val="endnote text"/>
    <w:link w:val="645"/>
    <w:uiPriority w:val="99"/>
    <w:semiHidden/>
    <w:unhideWhenUsed/>
    <w:rPr>
      <w:sz w:val="20"/>
    </w:rPr>
    <w:pPr>
      <w:spacing w:lineRule="auto" w:line="240" w:after="0"/>
    </w:pPr>
  </w:style>
  <w:style w:type="character" w:styleId="645">
    <w:name w:val="Endnote Text Char"/>
    <w:link w:val="644"/>
    <w:uiPriority w:val="99"/>
    <w:rPr>
      <w:sz w:val="20"/>
    </w:rPr>
  </w:style>
  <w:style w:type="character" w:styleId="646">
    <w:name w:val="endnote reference"/>
    <w:uiPriority w:val="99"/>
    <w:semiHidden/>
    <w:unhideWhenUsed/>
    <w:rPr>
      <w:vertAlign w:val="superscript"/>
    </w:rPr>
  </w:style>
  <w:style w:type="paragraph" w:styleId="647">
    <w:name w:val="toc 1"/>
    <w:uiPriority w:val="39"/>
    <w:unhideWhenUsed/>
    <w:pPr>
      <w:ind w:left="0" w:right="0" w:firstLine="0"/>
      <w:spacing w:after="57"/>
    </w:pPr>
  </w:style>
  <w:style w:type="paragraph" w:styleId="648">
    <w:name w:val="toc 2"/>
    <w:uiPriority w:val="39"/>
    <w:unhideWhenUsed/>
    <w:pPr>
      <w:ind w:left="283" w:right="0" w:firstLine="0"/>
      <w:spacing w:after="57"/>
    </w:pPr>
  </w:style>
  <w:style w:type="paragraph" w:styleId="649">
    <w:name w:val="toc 3"/>
    <w:uiPriority w:val="39"/>
    <w:unhideWhenUsed/>
    <w:pPr>
      <w:ind w:left="567" w:right="0" w:firstLine="0"/>
      <w:spacing w:after="57"/>
    </w:pPr>
  </w:style>
  <w:style w:type="paragraph" w:styleId="650">
    <w:name w:val="toc 4"/>
    <w:uiPriority w:val="39"/>
    <w:unhideWhenUsed/>
    <w:pPr>
      <w:ind w:left="850" w:right="0" w:firstLine="0"/>
      <w:spacing w:after="57"/>
    </w:pPr>
  </w:style>
  <w:style w:type="paragraph" w:styleId="651">
    <w:name w:val="toc 5"/>
    <w:uiPriority w:val="39"/>
    <w:unhideWhenUsed/>
    <w:pPr>
      <w:ind w:left="1134" w:right="0" w:firstLine="0"/>
      <w:spacing w:after="57"/>
    </w:pPr>
  </w:style>
  <w:style w:type="paragraph" w:styleId="652">
    <w:name w:val="toc 6"/>
    <w:uiPriority w:val="39"/>
    <w:unhideWhenUsed/>
    <w:pPr>
      <w:ind w:left="1417" w:right="0" w:firstLine="0"/>
      <w:spacing w:after="57"/>
    </w:pPr>
  </w:style>
  <w:style w:type="paragraph" w:styleId="653">
    <w:name w:val="toc 7"/>
    <w:uiPriority w:val="39"/>
    <w:unhideWhenUsed/>
    <w:pPr>
      <w:ind w:left="1701" w:right="0" w:firstLine="0"/>
      <w:spacing w:after="57"/>
    </w:pPr>
  </w:style>
  <w:style w:type="paragraph" w:styleId="654">
    <w:name w:val="toc 8"/>
    <w:uiPriority w:val="39"/>
    <w:unhideWhenUsed/>
    <w:pPr>
      <w:ind w:left="1984" w:right="0" w:firstLine="0"/>
      <w:spacing w:after="57"/>
    </w:pPr>
  </w:style>
  <w:style w:type="paragraph" w:styleId="655">
    <w:name w:val="toc 9"/>
    <w:uiPriority w:val="39"/>
    <w:unhideWhenUsed/>
    <w:pPr>
      <w:ind w:left="2268" w:right="0" w:firstLine="0"/>
      <w:spacing w:after="57"/>
    </w:pPr>
  </w:style>
  <w:style w:type="paragraph" w:styleId="656">
    <w:name w:val="TOC Heading"/>
    <w:uiPriority w:val="39"/>
    <w:unhideWhenUsed/>
  </w:style>
  <w:style w:type="paragraph" w:styleId="657">
    <w:name w:val="Обычный"/>
    <w:next w:val="657"/>
    <w:link w:val="657"/>
    <w:rPr>
      <w:sz w:val="24"/>
      <w:szCs w:val="24"/>
      <w:lang w:val="ru-RU" w:bidi="ar-SA" w:eastAsia="zh-CN"/>
    </w:rPr>
  </w:style>
  <w:style w:type="paragraph" w:styleId="658">
    <w:name w:val="Заголовок 3"/>
    <w:basedOn w:val="657"/>
    <w:next w:val="681"/>
    <w:link w:val="657"/>
    <w:rPr>
      <w:b/>
      <w:bCs/>
      <w:sz w:val="27"/>
      <w:szCs w:val="27"/>
    </w:rPr>
    <w:pPr>
      <w:numPr>
        <w:ilvl w:val="2"/>
        <w:numId w:val="1"/>
      </w:numPr>
      <w:spacing w:after="280" w:before="280"/>
      <w:outlineLvl w:val="2"/>
    </w:pPr>
  </w:style>
  <w:style w:type="character" w:styleId="659">
    <w:name w:val="Основной шрифт абзаца"/>
    <w:next w:val="659"/>
    <w:link w:val="657"/>
    <w:semiHidden/>
  </w:style>
  <w:style w:type="table" w:styleId="660">
    <w:name w:val="Обычная таблица"/>
    <w:next w:val="660"/>
    <w:link w:val="657"/>
    <w:semiHidden/>
    <w:tblPr/>
  </w:style>
  <w:style w:type="numbering" w:styleId="661">
    <w:name w:val="Нет списка"/>
    <w:next w:val="661"/>
    <w:link w:val="657"/>
    <w:semiHidden/>
  </w:style>
  <w:style w:type="character" w:styleId="662">
    <w:name w:val="WW8Num1z0"/>
    <w:next w:val="662"/>
    <w:link w:val="657"/>
  </w:style>
  <w:style w:type="character" w:styleId="663">
    <w:name w:val="WW8Num1z1"/>
    <w:next w:val="663"/>
    <w:link w:val="657"/>
  </w:style>
  <w:style w:type="character" w:styleId="664">
    <w:name w:val="WW8Num1z2"/>
    <w:next w:val="664"/>
    <w:link w:val="657"/>
  </w:style>
  <w:style w:type="character" w:styleId="665">
    <w:name w:val="WW8Num1z3"/>
    <w:next w:val="665"/>
    <w:link w:val="657"/>
  </w:style>
  <w:style w:type="character" w:styleId="666">
    <w:name w:val="WW8Num1z4"/>
    <w:next w:val="666"/>
    <w:link w:val="657"/>
  </w:style>
  <w:style w:type="character" w:styleId="667">
    <w:name w:val="WW8Num1z5"/>
    <w:next w:val="667"/>
    <w:link w:val="657"/>
  </w:style>
  <w:style w:type="character" w:styleId="668">
    <w:name w:val="WW8Num1z6"/>
    <w:next w:val="668"/>
    <w:link w:val="657"/>
  </w:style>
  <w:style w:type="character" w:styleId="669">
    <w:name w:val="WW8Num1z7"/>
    <w:next w:val="669"/>
    <w:link w:val="657"/>
  </w:style>
  <w:style w:type="character" w:styleId="670">
    <w:name w:val="WW8Num1z8"/>
    <w:next w:val="670"/>
    <w:link w:val="657"/>
  </w:style>
  <w:style w:type="character" w:styleId="671">
    <w:name w:val="Основной шрифт абзаца1"/>
    <w:next w:val="671"/>
    <w:link w:val="657"/>
  </w:style>
  <w:style w:type="character" w:styleId="672">
    <w:name w:val="Строгий"/>
    <w:next w:val="672"/>
    <w:link w:val="657"/>
    <w:rPr>
      <w:b/>
      <w:bCs/>
    </w:rPr>
  </w:style>
  <w:style w:type="character" w:styleId="673">
    <w:name w:val="Гиперссылка"/>
    <w:next w:val="673"/>
    <w:link w:val="657"/>
    <w:rPr>
      <w:color w:val="0000FF"/>
      <w:u w:val="single"/>
    </w:rPr>
  </w:style>
  <w:style w:type="character" w:styleId="674">
    <w:name w:val="Текст выноски Знак"/>
    <w:next w:val="674"/>
    <w:link w:val="657"/>
    <w:rPr>
      <w:rFonts w:ascii="Tahoma" w:hAnsi="Tahoma"/>
      <w:sz w:val="16"/>
      <w:szCs w:val="16"/>
    </w:rPr>
  </w:style>
  <w:style w:type="character" w:styleId="675">
    <w:name w:val="Заголовок 3 Знак"/>
    <w:next w:val="675"/>
    <w:link w:val="657"/>
    <w:rPr>
      <w:b/>
      <w:bCs/>
      <w:sz w:val="27"/>
      <w:szCs w:val="27"/>
    </w:rPr>
  </w:style>
  <w:style w:type="character" w:styleId="676">
    <w:name w:val="Выделение"/>
    <w:next w:val="676"/>
    <w:link w:val="657"/>
    <w:rPr>
      <w:i/>
      <w:iCs/>
    </w:rPr>
  </w:style>
  <w:style w:type="character" w:styleId="677">
    <w:name w:val="Знак примечания1"/>
    <w:next w:val="677"/>
    <w:link w:val="657"/>
    <w:rPr>
      <w:sz w:val="16"/>
      <w:szCs w:val="16"/>
    </w:rPr>
  </w:style>
  <w:style w:type="character" w:styleId="678">
    <w:name w:val="Текст примечания Знак"/>
    <w:basedOn w:val="671"/>
    <w:next w:val="678"/>
    <w:link w:val="657"/>
  </w:style>
  <w:style w:type="character" w:styleId="679">
    <w:name w:val="Тема примечания Знак"/>
    <w:next w:val="679"/>
    <w:link w:val="657"/>
    <w:rPr>
      <w:b/>
      <w:bCs/>
    </w:rPr>
  </w:style>
  <w:style w:type="paragraph" w:styleId="680">
    <w:name w:val="Заголовок1"/>
    <w:basedOn w:val="657"/>
    <w:next w:val="681"/>
    <w:link w:val="657"/>
    <w:rPr>
      <w:rFonts w:ascii="Liberation Sans" w:hAnsi="Liberation Sans" w:eastAsia="Microsoft YaHei"/>
      <w:sz w:val="28"/>
      <w:szCs w:val="28"/>
    </w:rPr>
    <w:pPr>
      <w:keepNext/>
      <w:spacing w:after="120" w:before="240"/>
    </w:pPr>
  </w:style>
  <w:style w:type="paragraph" w:styleId="681">
    <w:name w:val="Основной текст"/>
    <w:basedOn w:val="657"/>
    <w:next w:val="681"/>
    <w:link w:val="657"/>
    <w:pPr>
      <w:spacing w:lineRule="auto" w:line="276" w:after="140" w:before="0"/>
    </w:pPr>
  </w:style>
  <w:style w:type="paragraph" w:styleId="682">
    <w:name w:val="Список"/>
    <w:basedOn w:val="681"/>
    <w:next w:val="682"/>
    <w:link w:val="657"/>
  </w:style>
  <w:style w:type="paragraph" w:styleId="683">
    <w:name w:val="Название объекта"/>
    <w:basedOn w:val="657"/>
    <w:next w:val="683"/>
    <w:link w:val="657"/>
    <w:rPr>
      <w:i/>
      <w:iCs/>
      <w:sz w:val="24"/>
      <w:szCs w:val="24"/>
    </w:rPr>
    <w:pPr>
      <w:spacing w:after="120" w:before="120"/>
      <w:suppressLineNumbers/>
    </w:pPr>
  </w:style>
  <w:style w:type="paragraph" w:styleId="684">
    <w:name w:val="Указатель1"/>
    <w:basedOn w:val="657"/>
    <w:next w:val="684"/>
    <w:link w:val="657"/>
    <w:pPr>
      <w:suppressLineNumbers/>
    </w:pPr>
  </w:style>
  <w:style w:type="paragraph" w:styleId="685">
    <w:name w:val="Обычный (веб)"/>
    <w:basedOn w:val="657"/>
    <w:next w:val="685"/>
    <w:link w:val="657"/>
    <w:pPr>
      <w:spacing w:after="280" w:before="280"/>
    </w:pPr>
  </w:style>
  <w:style w:type="paragraph" w:styleId="686">
    <w:name w:val="Верхний и нижний колонтитулы"/>
    <w:basedOn w:val="657"/>
    <w:next w:val="686"/>
    <w:link w:val="657"/>
    <w:pPr>
      <w:tabs>
        <w:tab w:val="center" w:pos="4819" w:leader="none"/>
        <w:tab w:val="right" w:pos="9638" w:leader="none"/>
      </w:tabs>
      <w:suppressLineNumbers/>
    </w:pPr>
  </w:style>
  <w:style w:type="paragraph" w:styleId="687">
    <w:name w:val="Нижний колонтитул"/>
    <w:basedOn w:val="657"/>
    <w:next w:val="687"/>
    <w:link w:val="657"/>
  </w:style>
  <w:style w:type="paragraph" w:styleId="688">
    <w:name w:val="Верхний колонтитул"/>
    <w:basedOn w:val="657"/>
    <w:next w:val="688"/>
    <w:link w:val="657"/>
  </w:style>
  <w:style w:type="paragraph" w:styleId="689">
    <w:name w:val="Текст выноски"/>
    <w:basedOn w:val="657"/>
    <w:next w:val="689"/>
    <w:link w:val="657"/>
    <w:rPr>
      <w:rFonts w:ascii="Tahoma" w:hAnsi="Tahoma"/>
      <w:sz w:val="16"/>
      <w:szCs w:val="16"/>
    </w:rPr>
  </w:style>
  <w:style w:type="paragraph" w:styleId="690">
    <w:name w:val="Текст примечания1"/>
    <w:basedOn w:val="657"/>
    <w:next w:val="690"/>
    <w:link w:val="657"/>
    <w:rPr>
      <w:sz w:val="20"/>
      <w:szCs w:val="20"/>
    </w:rPr>
  </w:style>
  <w:style w:type="paragraph" w:styleId="691">
    <w:name w:val="Тема примечания"/>
    <w:basedOn w:val="690"/>
    <w:next w:val="690"/>
    <w:link w:val="657"/>
    <w:rPr>
      <w:b/>
      <w:bCs/>
    </w:rPr>
  </w:style>
  <w:style w:type="paragraph" w:styleId="692">
    <w:name w:val="Содержимое таблицы"/>
    <w:basedOn w:val="657"/>
    <w:next w:val="692"/>
    <w:link w:val="657"/>
    <w:pPr>
      <w:widowControl w:val="off"/>
      <w:suppressLineNumbers/>
    </w:pPr>
  </w:style>
  <w:style w:type="paragraph" w:styleId="693">
    <w:name w:val="Заголовок таблицы"/>
    <w:basedOn w:val="692"/>
    <w:next w:val="693"/>
    <w:link w:val="657"/>
    <w:rPr>
      <w:b/>
      <w:bCs/>
    </w:rPr>
    <w:pPr>
      <w:jc w:val="center"/>
      <w:suppressLineNumbers/>
    </w:pPr>
  </w:style>
  <w:style w:type="character" w:styleId="694" w:default="1">
    <w:name w:val="Default Paragraph Font"/>
    <w:uiPriority w:val="1"/>
    <w:semiHidden/>
    <w:unhideWhenUsed/>
  </w:style>
  <w:style w:type="numbering" w:styleId="695" w:default="1">
    <w:name w:val="No List"/>
    <w:uiPriority w:val="99"/>
    <w:semiHidden/>
    <w:unhideWhenUsed/>
  </w:style>
  <w:style w:type="paragraph" w:styleId="696" w:default="1">
    <w:name w:val="Normal"/>
    <w:qFormat/>
  </w:style>
  <w:style w:type="table" w:styleId="697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Р7-Офис/6.1.0.68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5</cp:revision>
  <dcterms:modified xsi:type="dcterms:W3CDTF">2022-01-11T11:24:15Z</dcterms:modified>
</cp:coreProperties>
</file>